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E58FB" w14:textId="77777777" w:rsidR="00D17675" w:rsidRPr="004F7E3D" w:rsidRDefault="00000000">
      <w:pPr>
        <w:pStyle w:val="Heading1"/>
        <w:rPr>
          <w:rFonts w:ascii="Calibri Light" w:hAnsi="Calibri Light" w:cs="Calibri Light"/>
        </w:rPr>
      </w:pPr>
      <w:r w:rsidRPr="004F7E3D">
        <w:rPr>
          <w:rFonts w:ascii="Calibri Light" w:hAnsi="Calibri Light" w:cs="Calibri Light"/>
        </w:rPr>
        <w:t>PAÍS X</w:t>
      </w:r>
    </w:p>
    <w:p w14:paraId="06588043" w14:textId="77777777" w:rsidR="00D17675" w:rsidRDefault="00000000">
      <w:pPr>
        <w:pStyle w:val="Heading2"/>
      </w:pPr>
      <w:r>
        <w:t>ANÁLISIS DE LA SITUACIÓN</w:t>
      </w:r>
    </w:p>
    <w:p w14:paraId="0C3D2D1C" w14:textId="77777777" w:rsidR="00D17675" w:rsidRDefault="00000000">
      <w:pPr>
        <w:spacing w:before="240" w:after="240" w:line="276" w:lineRule="auto"/>
        <w:jc w:val="both"/>
        <w:rPr>
          <w:sz w:val="21"/>
          <w:szCs w:val="21"/>
        </w:rPr>
      </w:pPr>
      <w:r>
        <w:rPr>
          <w:sz w:val="21"/>
          <w:szCs w:val="21"/>
        </w:rPr>
        <w:t>Se ha producido un terremoto de gran magnitud que ha causado daños significativos en una capital regional del País X, denominada SC, así como en las zonas circundantes. Los informes iniciales estiman alrededor de 50.000 personas fallecidas; sin embargo, se prevé que esta cifra aumente a medida que las zonas afectadas sean accesibles y como consecuencia de las lesiones sufridas por muchas personas.</w:t>
      </w:r>
    </w:p>
    <w:p w14:paraId="21F84970" w14:textId="77777777" w:rsidR="00D17675" w:rsidRDefault="00000000">
      <w:pPr>
        <w:spacing w:before="240" w:after="240" w:line="276" w:lineRule="auto"/>
        <w:jc w:val="both"/>
        <w:rPr>
          <w:sz w:val="21"/>
          <w:szCs w:val="21"/>
        </w:rPr>
      </w:pPr>
      <w:r>
        <w:rPr>
          <w:sz w:val="21"/>
          <w:szCs w:val="21"/>
        </w:rPr>
        <w:t>El contexto cuenta, en general, con infraestructura bien desarrollada en ciudades y pueblos. No obstante, algunas de las zonas rurales que se presume han sido afectadas son de difícil acceso debido a su geografía montañosa y a las limitadas condiciones de conectividad vial. Las estructuras gubernamentales suelen funcionar adecuadamente; sin embargo, la magnitud de la destrucción ha sobrepasado la capacidad de respuesta local. Paralelamente, se está iniciando una respuesta internacional considerable.</w:t>
      </w:r>
    </w:p>
    <w:p w14:paraId="4D26255A" w14:textId="77777777" w:rsidR="00D17675" w:rsidRDefault="00000000">
      <w:pPr>
        <w:spacing w:before="240" w:after="240" w:line="276" w:lineRule="auto"/>
        <w:jc w:val="both"/>
        <w:rPr>
          <w:sz w:val="21"/>
          <w:szCs w:val="21"/>
        </w:rPr>
      </w:pPr>
      <w:r>
        <w:rPr>
          <w:sz w:val="21"/>
          <w:szCs w:val="21"/>
        </w:rPr>
        <w:t>Existen reportes sobre un gran número de niñas, niños y adolescentes no acompañados y separados —UASC, por sus siglas en inglés—. Muchas personas han huido, particularmente de las zonas urbanas más afectadas. Las réplicas continúan generando pánico, y la población sigue en movimiento.</w:t>
      </w:r>
    </w:p>
    <w:p w14:paraId="4B73DB77" w14:textId="77777777" w:rsidR="00D17675" w:rsidRDefault="00000000">
      <w:pPr>
        <w:spacing w:before="240" w:after="240" w:line="276" w:lineRule="auto"/>
        <w:jc w:val="both"/>
        <w:rPr>
          <w:sz w:val="21"/>
          <w:szCs w:val="21"/>
        </w:rPr>
      </w:pPr>
      <w:r>
        <w:rPr>
          <w:sz w:val="21"/>
          <w:szCs w:val="21"/>
        </w:rPr>
        <w:t>El terremoto ha dañado extensas áreas de la ciudad, incluidas zonas comerciales donde muchas personas se encontraban trabajando y han quedado atrapadas en edificios de gran altura; escuelas donde se reporta que hay niñas, niños y adolescentes atrapados; y zonas residenciales. Entre estas se incluyen tanto áreas de alto nivel socioeconómico, con grandes propiedades cerradas, como una extensa zona de asentamientos informales donde se sabe que residen personas trabajadoras migrantes y sus familias.</w:t>
      </w:r>
    </w:p>
    <w:p w14:paraId="36B7420B" w14:textId="77777777" w:rsidR="00D17675" w:rsidRDefault="00000000">
      <w:pPr>
        <w:spacing w:before="240" w:after="240" w:line="276" w:lineRule="auto"/>
        <w:jc w:val="both"/>
        <w:rPr>
          <w:sz w:val="21"/>
          <w:szCs w:val="21"/>
        </w:rPr>
      </w:pPr>
      <w:r>
        <w:rPr>
          <w:sz w:val="21"/>
          <w:szCs w:val="21"/>
        </w:rPr>
        <w:t>Es probable que muchas de estas personas trabajadoras migrantes se encuentren en situación migratoria irregular. Algunas de ellas llevan consigo a sus hijas e hijos para trabajar en fábricas de ropa o como trabajadoras y trabajadores domésticos.</w:t>
      </w:r>
    </w:p>
    <w:p w14:paraId="2F6D635C" w14:textId="77777777" w:rsidR="00D17675" w:rsidRDefault="00000000">
      <w:pPr>
        <w:spacing w:before="240" w:after="240" w:line="276" w:lineRule="auto"/>
        <w:jc w:val="both"/>
        <w:rPr>
          <w:sz w:val="21"/>
          <w:szCs w:val="21"/>
        </w:rPr>
      </w:pPr>
      <w:r>
        <w:rPr>
          <w:sz w:val="21"/>
          <w:szCs w:val="21"/>
        </w:rPr>
        <w:t>Las evaluaciones multisectoriales iniciales indican que muchas niñas, niños y adolescentes han quedado separados de sus familias, debido a que se encontraban en la escuela o sus familiares estaban en el trabajo cuando ocurrió el terremoto. Además, muchas carreteras se encuentran intransitables y varias zonas permanecen inaccesibles.</w:t>
      </w:r>
    </w:p>
    <w:p w14:paraId="12897F37" w14:textId="77777777" w:rsidR="00D17675" w:rsidRDefault="00000000">
      <w:pPr>
        <w:spacing w:before="240" w:after="240" w:line="276" w:lineRule="auto"/>
        <w:jc w:val="both"/>
        <w:rPr>
          <w:sz w:val="21"/>
          <w:szCs w:val="21"/>
        </w:rPr>
      </w:pPr>
      <w:r>
        <w:rPr>
          <w:sz w:val="21"/>
          <w:szCs w:val="21"/>
        </w:rPr>
        <w:t>La Sociedad Nacional de la Cruz Roja ha establecido algunos centros de recepción. También se están instalando hospitales de campaña donde se brinda atención de primeros auxilios a la población afectada. Sin embargo, estos servicios ya se encuentran sobrepasados por la magnitud de las necesidades.</w:t>
      </w:r>
    </w:p>
    <w:p w14:paraId="3FE21CB3" w14:textId="77777777" w:rsidR="00D17675" w:rsidRDefault="00000000">
      <w:pPr>
        <w:spacing w:before="240" w:after="240" w:line="276" w:lineRule="auto"/>
        <w:jc w:val="both"/>
        <w:rPr>
          <w:sz w:val="21"/>
          <w:szCs w:val="21"/>
        </w:rPr>
      </w:pPr>
      <w:r>
        <w:rPr>
          <w:sz w:val="21"/>
          <w:szCs w:val="21"/>
        </w:rPr>
        <w:t>Se informa que numerosos orfanatos locales están acogiendo a niñas, niños y adolescentes. También circulan rumores de que algunas niñas, niños y adolescentes han “desaparecido” de uno de estos orfanatos.</w:t>
      </w:r>
    </w:p>
    <w:p w14:paraId="6073CFF3" w14:textId="77777777" w:rsidR="00D17675" w:rsidRDefault="00000000">
      <w:pPr>
        <w:spacing w:before="240" w:after="240" w:line="276" w:lineRule="auto"/>
        <w:jc w:val="both"/>
        <w:rPr>
          <w:sz w:val="21"/>
          <w:szCs w:val="21"/>
        </w:rPr>
      </w:pPr>
      <w:r>
        <w:rPr>
          <w:sz w:val="21"/>
          <w:szCs w:val="21"/>
        </w:rPr>
        <w:t>La cobertura de los medios de comunicación se ha centrado en la situación de las niñas, niños y adolescentes presentados como “huérfanos”. Asimismo, se han reportado incidentes de trata de niñas, niños y adolescentes. La ciudad es conocida por atraer a personas vinculadas al turismo sexual, y se sabe que la trata de personas constituye un problema en la región. Existe además una amplia población migrante, incluyendo muchas mujeres y niñas que trabajan como empleadas domésticas.</w:t>
      </w:r>
    </w:p>
    <w:p w14:paraId="55FD7DB6" w14:textId="77777777" w:rsidR="00D17675" w:rsidRDefault="00000000">
      <w:pPr>
        <w:spacing w:before="240" w:after="240" w:line="276" w:lineRule="auto"/>
        <w:jc w:val="both"/>
        <w:rPr>
          <w:sz w:val="21"/>
          <w:szCs w:val="21"/>
        </w:rPr>
      </w:pPr>
      <w:r>
        <w:rPr>
          <w:sz w:val="21"/>
          <w:szCs w:val="21"/>
        </w:rPr>
        <w:lastRenderedPageBreak/>
        <w:t>No ha existido preparación específica frente a terremotos. Sin embargo, el Grupo de Coordinación de Protección de la Niñez, liderado por el Gobierno, cuenta con buena capacidad y experiencia en la respuesta a desastres naturales en distintas regiones del País X. Se espera la llegada de más organizaciones al país con intención de trabajar con niñas, niños y adolescentes no acompañados y separados.</w:t>
      </w:r>
    </w:p>
    <w:p w14:paraId="78CC8030" w14:textId="77777777" w:rsidR="00D17675" w:rsidRDefault="00000000">
      <w:pPr>
        <w:spacing w:before="240" w:after="240" w:line="276" w:lineRule="auto"/>
        <w:jc w:val="both"/>
        <w:rPr>
          <w:sz w:val="21"/>
          <w:szCs w:val="21"/>
        </w:rPr>
      </w:pPr>
      <w:r>
        <w:rPr>
          <w:sz w:val="21"/>
          <w:szCs w:val="21"/>
        </w:rPr>
        <w:t>El Grupo de Coordinación de Protección de la Niñez ha solicitado a todas las organizaciones miembros que apoyen la respuesta, debido a la necesidad urgente de coordinar las acciones relacionadas con UASC.</w:t>
      </w:r>
    </w:p>
    <w:p w14:paraId="585E9FCE" w14:textId="77777777" w:rsidR="00D17675" w:rsidRDefault="00000000">
      <w:pPr>
        <w:spacing w:before="240" w:after="240" w:line="276" w:lineRule="auto"/>
        <w:jc w:val="both"/>
        <w:rPr>
          <w:sz w:val="21"/>
          <w:szCs w:val="21"/>
        </w:rPr>
      </w:pPr>
      <w:r>
        <w:rPr>
          <w:sz w:val="21"/>
          <w:szCs w:val="21"/>
        </w:rPr>
        <w:t>Hasta el momento, no ha sido posible realizar una evaluación específica de protección de la niñez. Al mismo tiempo, otros sectores están solicitando orientación y apoyo para brindar asistencia a niñas, niños y adolescentes que aparentemente se encuentran solos.</w:t>
      </w:r>
    </w:p>
    <w:p w14:paraId="4125911B" w14:textId="77777777" w:rsidR="00D17675" w:rsidRDefault="00000000">
      <w:pPr>
        <w:spacing w:before="240" w:after="240" w:line="276" w:lineRule="auto"/>
        <w:jc w:val="both"/>
        <w:rPr>
          <w:sz w:val="21"/>
          <w:szCs w:val="21"/>
        </w:rPr>
      </w:pPr>
      <w:r>
        <w:rPr>
          <w:sz w:val="21"/>
          <w:szCs w:val="21"/>
        </w:rPr>
        <w:t>Se está estableciendo una estructura de coordinación por grupos temáticos o clústeres, y se ha lanzado un llamamiento de financiación para apoyar la respuesta humanitaria.</w:t>
      </w:r>
    </w:p>
    <w:p w14:paraId="593C8888" w14:textId="77777777" w:rsidR="00D17675" w:rsidRDefault="00D17675">
      <w:pPr>
        <w:spacing w:line="276" w:lineRule="auto"/>
        <w:jc w:val="both"/>
        <w:rPr>
          <w:sz w:val="21"/>
          <w:szCs w:val="21"/>
        </w:rPr>
      </w:pPr>
    </w:p>
    <w:sectPr w:rsidR="00D17675">
      <w:headerReference w:type="default" r:id="rId7"/>
      <w:footerReference w:type="even" r:id="rId8"/>
      <w:footerReference w:type="default" r:id="rId9"/>
      <w:pgSz w:w="11906" w:h="16838"/>
      <w:pgMar w:top="1398"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015C3" w14:textId="77777777" w:rsidR="00AB13F3" w:rsidRDefault="00AB13F3">
      <w:pPr>
        <w:spacing w:after="0" w:line="240" w:lineRule="auto"/>
      </w:pPr>
      <w:r>
        <w:separator/>
      </w:r>
    </w:p>
  </w:endnote>
  <w:endnote w:type="continuationSeparator" w:id="0">
    <w:p w14:paraId="497D0CFD" w14:textId="77777777" w:rsidR="00AB13F3" w:rsidRDefault="00AB13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7467B583-D0F1-B548-AD1A-DF1E058F2629}"/>
    <w:embedBold r:id="rId2" w:fontKey="{F65E4089-0FAB-0540-9B21-6565F04501C0}"/>
    <w:embedBoldItalic r:id="rId3" w:fontKey="{05C911DE-FC9C-3C42-832A-42B2CE05E923}"/>
  </w:font>
  <w:font w:name="Times New Roman">
    <w:panose1 w:val="02020603050405020304"/>
    <w:charset w:val="00"/>
    <w:family w:val="roman"/>
    <w:pitch w:val="variable"/>
    <w:sig w:usb0="E0002EFF" w:usb1="C000785B" w:usb2="00000009" w:usb3="00000000" w:csb0="000001FF" w:csb1="00000000"/>
    <w:embedRegular r:id="rId4" w:fontKey="{5ACE19EF-84DE-D249-B445-BDC44C34C38C}"/>
  </w:font>
  <w:font w:name="Calibri Light">
    <w:panose1 w:val="020F0302020204030204"/>
    <w:charset w:val="00"/>
    <w:family w:val="swiss"/>
    <w:pitch w:val="variable"/>
    <w:sig w:usb0="E0002AFF" w:usb1="C000247B" w:usb2="00000009" w:usb3="00000000" w:csb0="000001FF" w:csb1="00000000"/>
    <w:embedRegular r:id="rId5" w:fontKey="{AE6BCDEF-A08D-A74A-ACE1-F3436CED52F4}"/>
  </w:font>
  <w:font w:name="Cambria">
    <w:panose1 w:val="02040503050406030204"/>
    <w:charset w:val="00"/>
    <w:family w:val="roman"/>
    <w:pitch w:val="variable"/>
    <w:sig w:usb0="E00006FF" w:usb1="420024FF" w:usb2="02000000" w:usb3="00000000" w:csb0="0000019F" w:csb1="00000000"/>
    <w:embedRegular r:id="rId6" w:fontKey="{2392293E-8975-534C-9FF7-BD57ED4C55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359507166"/>
      <w:docPartObj>
        <w:docPartGallery w:val="Page Numbers (Bottom of Page)"/>
        <w:docPartUnique/>
      </w:docPartObj>
    </w:sdtPr>
    <w:sdtContent>
      <w:p w14:paraId="39671A9A" w14:textId="639F6746" w:rsidR="004F7E3D" w:rsidRDefault="004F7E3D" w:rsidP="00DC517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434140FE" w14:textId="77777777" w:rsidR="004F7E3D" w:rsidRDefault="004F7E3D" w:rsidP="004F7E3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19911994"/>
      <w:docPartObj>
        <w:docPartGallery w:val="Page Numbers (Bottom of Page)"/>
        <w:docPartUnique/>
      </w:docPartObj>
    </w:sdtPr>
    <w:sdtContent>
      <w:p w14:paraId="6738C1B3" w14:textId="1F4484DD" w:rsidR="004F7E3D" w:rsidRDefault="004F7E3D" w:rsidP="00DC517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067551C" w14:textId="77777777" w:rsidR="004F7E3D" w:rsidRDefault="004F7E3D" w:rsidP="004F7E3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9A8A4" w14:textId="77777777" w:rsidR="00AB13F3" w:rsidRDefault="00AB13F3">
      <w:pPr>
        <w:spacing w:after="0" w:line="240" w:lineRule="auto"/>
      </w:pPr>
      <w:r>
        <w:separator/>
      </w:r>
    </w:p>
  </w:footnote>
  <w:footnote w:type="continuationSeparator" w:id="0">
    <w:p w14:paraId="283C27A5" w14:textId="77777777" w:rsidR="00AB13F3" w:rsidRDefault="00AB13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D8284" w14:textId="17B99117" w:rsidR="00D17675" w:rsidRPr="004F7E3D" w:rsidRDefault="004F7E3D">
    <w:pPr>
      <w:pBdr>
        <w:top w:val="nil"/>
        <w:left w:val="nil"/>
        <w:bottom w:val="nil"/>
        <w:right w:val="nil"/>
        <w:between w:val="nil"/>
      </w:pBdr>
      <w:tabs>
        <w:tab w:val="center" w:pos="4680"/>
        <w:tab w:val="right" w:pos="9360"/>
      </w:tabs>
      <w:spacing w:after="0" w:line="240" w:lineRule="auto"/>
      <w:rPr>
        <w:color w:val="000000"/>
        <w:sz w:val="20"/>
        <w:szCs w:val="20"/>
        <w:lang w:val="es-ES"/>
      </w:rPr>
    </w:pPr>
    <w:r>
      <w:rPr>
        <w:noProof/>
        <w:color w:val="000000"/>
        <w:sz w:val="20"/>
        <w:szCs w:val="20"/>
        <w:lang w:val="es-ES"/>
      </w:rPr>
      <w:drawing>
        <wp:anchor distT="0" distB="0" distL="114300" distR="114300" simplePos="0" relativeHeight="251658240" behindDoc="1" locked="0" layoutInCell="1" allowOverlap="1" wp14:anchorId="44FFE616" wp14:editId="5056EFB8">
          <wp:simplePos x="0" y="0"/>
          <wp:positionH relativeFrom="column">
            <wp:posOffset>4314092</wp:posOffset>
          </wp:positionH>
          <wp:positionV relativeFrom="paragraph">
            <wp:posOffset>-414410</wp:posOffset>
          </wp:positionV>
          <wp:extent cx="2308448" cy="876730"/>
          <wp:effectExtent l="0" t="0" r="0" b="0"/>
          <wp:wrapNone/>
          <wp:docPr id="876786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786792" name="Picture 876786792"/>
                  <pic:cNvPicPr/>
                </pic:nvPicPr>
                <pic:blipFill>
                  <a:blip r:embed="rId1">
                    <a:extLst>
                      <a:ext uri="{28A0092B-C50C-407E-A947-70E740481C1C}">
                        <a14:useLocalDpi xmlns:a14="http://schemas.microsoft.com/office/drawing/2010/main" val="0"/>
                      </a:ext>
                    </a:extLst>
                  </a:blip>
                  <a:stretch>
                    <a:fillRect/>
                  </a:stretch>
                </pic:blipFill>
                <pic:spPr>
                  <a:xfrm>
                    <a:off x="0" y="0"/>
                    <a:ext cx="2325350" cy="883149"/>
                  </a:xfrm>
                  <a:prstGeom prst="rect">
                    <a:avLst/>
                  </a:prstGeom>
                </pic:spPr>
              </pic:pic>
            </a:graphicData>
          </a:graphic>
          <wp14:sizeRelH relativeFrom="page">
            <wp14:pctWidth>0</wp14:pctWidth>
          </wp14:sizeRelH>
          <wp14:sizeRelV relativeFrom="page">
            <wp14:pctHeight>0</wp14:pctHeight>
          </wp14:sizeRelV>
        </wp:anchor>
      </w:drawing>
    </w:r>
    <w:r w:rsidRPr="004F7E3D">
      <w:rPr>
        <w:color w:val="000000"/>
        <w:sz w:val="20"/>
        <w:szCs w:val="20"/>
        <w:lang w:val="es-ES"/>
      </w:rPr>
      <w:t>Formación de formadores sobre menores no acompañados y separados</w:t>
    </w:r>
  </w:p>
  <w:p w14:paraId="4154B4E8" w14:textId="77777777" w:rsidR="00D17675"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Módulo 4.2 – Simulación - SitAN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7675"/>
    <w:rsid w:val="003E45AF"/>
    <w:rsid w:val="004F7E3D"/>
    <w:rsid w:val="00AB13F3"/>
    <w:rsid w:val="00D1767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6DEE7"/>
  <w15:docId w15:val="{D962FFD1-0F61-F242-8FCF-B59AFE34D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B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paragraph" w:styleId="Subtitle">
    <w:name w:val="Subtitle"/>
    <w:basedOn w:val="Normal"/>
    <w:next w:val="Normal"/>
    <w:uiPriority w:val="11"/>
    <w:qFormat/>
    <w:pPr>
      <w:spacing w:before="240"/>
    </w:pPr>
    <w:rPr>
      <w:color w:val="405D78"/>
      <w:sz w:val="44"/>
      <w:szCs w:val="44"/>
    </w:rPr>
  </w:style>
  <w:style w:type="paragraph" w:styleId="Header">
    <w:name w:val="header"/>
    <w:basedOn w:val="Normal"/>
    <w:link w:val="HeaderChar"/>
    <w:uiPriority w:val="99"/>
    <w:unhideWhenUsed/>
    <w:rsid w:val="004F7E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F7E3D"/>
  </w:style>
  <w:style w:type="paragraph" w:styleId="Footer">
    <w:name w:val="footer"/>
    <w:basedOn w:val="Normal"/>
    <w:link w:val="FooterChar"/>
    <w:uiPriority w:val="99"/>
    <w:unhideWhenUsed/>
    <w:rsid w:val="004F7E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7E3D"/>
  </w:style>
  <w:style w:type="character" w:styleId="PageNumber">
    <w:name w:val="page number"/>
    <w:basedOn w:val="DefaultParagraphFont"/>
    <w:uiPriority w:val="99"/>
    <w:semiHidden/>
    <w:unhideWhenUsed/>
    <w:rsid w:val="004F7E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4DuPIEh6xFqk0BNxZb09Ynq8gw==">CgMxLjA4AHIhMWlDS2RQM0t2R1FxTE16LWVVR1hYMktYeU9VRGFDSWxU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651</Words>
  <Characters>3680</Characters>
  <Application>Microsoft Office Word</Application>
  <DocSecurity>0</DocSecurity>
  <Lines>47</Lines>
  <Paragraphs>17</Paragraphs>
  <ScaleCrop>false</ScaleCrop>
  <Company/>
  <LinksUpToDate>false</LinksUpToDate>
  <CharactersWithSpaces>4314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2</cp:revision>
  <dcterms:created xsi:type="dcterms:W3CDTF">2026-05-21T19:55:00Z</dcterms:created>
  <dcterms:modified xsi:type="dcterms:W3CDTF">2026-05-21T19:57:00Z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lpwstr>140400</vt:lpwstr>
  </property>
  <property fmtid="{D5CDD505-2E9C-101B-9397-08002B2CF9AE}" pid="4" name="xd_Signature">
    <vt:lpwstr>false</vt:lpwstr>
  </property>
  <property fmtid="{D5CDD505-2E9C-101B-9397-08002B2CF9AE}" pid="5" name="xd_ProgID">
    <vt:lpwstr>xd_ProgID</vt:lpwstr>
  </property>
  <property fmtid="{D5CDD505-2E9C-101B-9397-08002B2CF9AE}" pid="6" name="_SourceUrl">
    <vt:lpwstr>_SourceUrl</vt:lpwstr>
  </property>
  <property fmtid="{D5CDD505-2E9C-101B-9397-08002B2CF9AE}" pid="7" name="_SharedFileIndex">
    <vt:lpwstr>_SharedFileIndex</vt:lpwstr>
  </property>
  <property fmtid="{D5CDD505-2E9C-101B-9397-08002B2CF9AE}" pid="8" name="ComplianceAssetId">
    <vt:lpwstr>ComplianceAssetId</vt:lpwstr>
  </property>
  <property fmtid="{D5CDD505-2E9C-101B-9397-08002B2CF9AE}" pid="9" name="TemplateUrl">
    <vt:lpwstr>TemplateUrl</vt:lpwstr>
  </property>
</Properties>
</file>